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28" w:rsidRDefault="00416D28" w:rsidP="00034885"/>
    <w:p w:rsidR="00416D28" w:rsidRDefault="00416D28" w:rsidP="00034885"/>
    <w:p w:rsidR="001406FF" w:rsidRDefault="001406FF" w:rsidP="00034885">
      <w:r>
        <w:rPr>
          <w:noProof/>
        </w:rPr>
        <w:drawing>
          <wp:inline distT="0" distB="0" distL="0" distR="0">
            <wp:extent cx="5400040" cy="1080950"/>
            <wp:effectExtent l="19050" t="0" r="0" b="0"/>
            <wp:docPr id="1" name="Imagen 1" descr="header_minisite_7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minisite_7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FF" w:rsidRDefault="001406FF" w:rsidP="00034885"/>
    <w:p w:rsidR="001406FF" w:rsidRDefault="001406FF" w:rsidP="00034885"/>
    <w:p w:rsidR="001406FF" w:rsidRPr="00F05FA9" w:rsidRDefault="001406FF" w:rsidP="00034885">
      <w:pPr>
        <w:rPr>
          <w:rFonts w:asciiTheme="minorHAnsi" w:hAnsiTheme="minorHAnsi"/>
        </w:rPr>
      </w:pPr>
      <w:r w:rsidRPr="00F05FA9">
        <w:rPr>
          <w:rFonts w:asciiTheme="minorHAnsi" w:hAnsiTheme="minorHAnsi"/>
        </w:rPr>
        <w:t>Estimados Señores:</w:t>
      </w:r>
    </w:p>
    <w:p w:rsidR="001406FF" w:rsidRPr="00F05FA9" w:rsidRDefault="001406FF" w:rsidP="00034885">
      <w:pPr>
        <w:rPr>
          <w:rFonts w:asciiTheme="minorHAnsi" w:hAnsiTheme="minorHAnsi"/>
        </w:rPr>
      </w:pPr>
    </w:p>
    <w:p w:rsidR="00416D28" w:rsidRPr="00F05FA9" w:rsidRDefault="00416D28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Presentamos el II </w:t>
      </w:r>
      <w:proofErr w:type="spellStart"/>
      <w:r w:rsidRPr="00F05FA9">
        <w:rPr>
          <w:rFonts w:asciiTheme="minorHAnsi" w:hAnsiTheme="minorHAnsi"/>
        </w:rPr>
        <w:t>Workshop</w:t>
      </w:r>
      <w:proofErr w:type="spellEnd"/>
      <w:r w:rsidRPr="00F05FA9">
        <w:rPr>
          <w:rFonts w:asciiTheme="minorHAnsi" w:hAnsiTheme="minorHAnsi"/>
        </w:rPr>
        <w:t xml:space="preserve"> de </w:t>
      </w:r>
      <w:proofErr w:type="spellStart"/>
      <w:r w:rsidRPr="00F05FA9">
        <w:rPr>
          <w:rFonts w:asciiTheme="minorHAnsi" w:hAnsiTheme="minorHAnsi"/>
        </w:rPr>
        <w:t>Hematogeriatría</w:t>
      </w:r>
      <w:proofErr w:type="spellEnd"/>
      <w:r w:rsidRPr="00F05FA9">
        <w:rPr>
          <w:rFonts w:asciiTheme="minorHAnsi" w:hAnsiTheme="minorHAnsi"/>
        </w:rPr>
        <w:t xml:space="preserve"> a celebrar del 11 al 12 de febrero de 2016, en el Instituto Catalán de Oncología (ICO).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034885" w:rsidRPr="00F05FA9" w:rsidRDefault="00416D28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 </w:t>
      </w:r>
      <w:r w:rsidR="00034885" w:rsidRPr="00F05FA9">
        <w:rPr>
          <w:rFonts w:asciiTheme="minorHAnsi" w:hAnsiTheme="minorHAnsi"/>
        </w:rPr>
        <w:t xml:space="preserve">El aumento de la esperanza de vida en la sociedad y la mayor incidencia de cáncer en  la población de edad avanzada </w:t>
      </w:r>
      <w:r w:rsidRPr="00F05FA9">
        <w:rPr>
          <w:rFonts w:asciiTheme="minorHAnsi" w:hAnsiTheme="minorHAnsi"/>
        </w:rPr>
        <w:t>obligan a una adaptación en</w:t>
      </w:r>
      <w:r w:rsidR="00034885" w:rsidRPr="00F05FA9">
        <w:rPr>
          <w:rFonts w:asciiTheme="minorHAnsi" w:hAnsiTheme="minorHAnsi"/>
        </w:rPr>
        <w:t xml:space="preserve"> </w:t>
      </w:r>
      <w:r w:rsidRPr="00F05FA9">
        <w:rPr>
          <w:rFonts w:asciiTheme="minorHAnsi" w:hAnsiTheme="minorHAnsi"/>
        </w:rPr>
        <w:t xml:space="preserve">la forma </w:t>
      </w:r>
      <w:r w:rsidR="00034885" w:rsidRPr="00F05FA9">
        <w:rPr>
          <w:rFonts w:asciiTheme="minorHAnsi" w:hAnsiTheme="minorHAnsi"/>
        </w:rPr>
        <w:t>de trabajar para dar respuesta a las necesidades de esta nueva población.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034885" w:rsidRPr="00F05FA9" w:rsidRDefault="00034885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La </w:t>
      </w:r>
      <w:proofErr w:type="spellStart"/>
      <w:r w:rsidRPr="00F05FA9">
        <w:rPr>
          <w:rFonts w:asciiTheme="minorHAnsi" w:hAnsiTheme="minorHAnsi"/>
        </w:rPr>
        <w:t>hematogeriatría</w:t>
      </w:r>
      <w:proofErr w:type="spellEnd"/>
      <w:r w:rsidRPr="00F05FA9">
        <w:rPr>
          <w:rFonts w:asciiTheme="minorHAnsi" w:hAnsiTheme="minorHAnsi"/>
        </w:rPr>
        <w:t xml:space="preserve"> nace para cubrir la necesidades de armonización de tres grandes factores que se manejan en la toma de decisiones: las </w:t>
      </w:r>
      <w:proofErr w:type="spellStart"/>
      <w:r w:rsidRPr="00F05FA9">
        <w:rPr>
          <w:rFonts w:asciiTheme="minorHAnsi" w:hAnsiTheme="minorHAnsi"/>
          <w:b/>
        </w:rPr>
        <w:t>caraterísticas</w:t>
      </w:r>
      <w:proofErr w:type="spellEnd"/>
      <w:r w:rsidRPr="00F05FA9">
        <w:rPr>
          <w:rFonts w:asciiTheme="minorHAnsi" w:hAnsiTheme="minorHAnsi"/>
        </w:rPr>
        <w:t xml:space="preserve"> del paciente, las de la </w:t>
      </w:r>
      <w:r w:rsidRPr="00F05FA9">
        <w:rPr>
          <w:rFonts w:asciiTheme="minorHAnsi" w:hAnsiTheme="minorHAnsi"/>
          <w:b/>
        </w:rPr>
        <w:t>enfermedad</w:t>
      </w:r>
      <w:r w:rsidRPr="00F05FA9">
        <w:rPr>
          <w:rFonts w:asciiTheme="minorHAnsi" w:hAnsiTheme="minorHAnsi"/>
        </w:rPr>
        <w:t xml:space="preserve"> a tratar y la de los </w:t>
      </w:r>
      <w:r w:rsidRPr="00F05FA9">
        <w:rPr>
          <w:rFonts w:asciiTheme="minorHAnsi" w:hAnsiTheme="minorHAnsi"/>
          <w:b/>
        </w:rPr>
        <w:t>fármacos o técnicas</w:t>
      </w:r>
      <w:r w:rsidRPr="00F05FA9">
        <w:rPr>
          <w:rFonts w:asciiTheme="minorHAnsi" w:hAnsiTheme="minorHAnsi"/>
        </w:rPr>
        <w:t xml:space="preserve"> de que se dispone. Los mayores tienen una reserva funcional muy heterogénea y algunos pacientes mayores son muy vulnerables para tolerar determinados tratamientos. Por otro lado, las características genéticas de las hemopatías </w:t>
      </w:r>
      <w:proofErr w:type="spellStart"/>
      <w:r w:rsidRPr="00F05FA9">
        <w:rPr>
          <w:rFonts w:asciiTheme="minorHAnsi" w:hAnsiTheme="minorHAnsi"/>
        </w:rPr>
        <w:t>clonales</w:t>
      </w:r>
      <w:proofErr w:type="spellEnd"/>
      <w:r w:rsidRPr="00F05FA9">
        <w:rPr>
          <w:rFonts w:asciiTheme="minorHAnsi" w:hAnsiTheme="minorHAnsi"/>
        </w:rPr>
        <w:t xml:space="preserve"> son diferentes que en la población más joven. Estos factores junto a la aparición constante de nuevos fármacos con mecanismos de acción muy selectivo y con perfiles de tolerancia óptimos obligan replantear el cómo tomar las decisiones diagnósticas terapéuticas en los pacientes mayores.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034885" w:rsidRPr="00F05FA9" w:rsidRDefault="00416D28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>Desde el Grupo E</w:t>
      </w:r>
      <w:r w:rsidR="00034885" w:rsidRPr="00F05FA9">
        <w:rPr>
          <w:rFonts w:asciiTheme="minorHAnsi" w:hAnsiTheme="minorHAnsi"/>
        </w:rPr>
        <w:t xml:space="preserve">spañol </w:t>
      </w:r>
      <w:r w:rsidRPr="00F05FA9">
        <w:rPr>
          <w:rFonts w:asciiTheme="minorHAnsi" w:hAnsiTheme="minorHAnsi"/>
        </w:rPr>
        <w:t xml:space="preserve">de </w:t>
      </w:r>
      <w:proofErr w:type="spellStart"/>
      <w:r w:rsidRPr="00F05FA9">
        <w:rPr>
          <w:rFonts w:asciiTheme="minorHAnsi" w:hAnsiTheme="minorHAnsi"/>
        </w:rPr>
        <w:t>Hematogeriatría</w:t>
      </w:r>
      <w:proofErr w:type="spellEnd"/>
      <w:r w:rsidRPr="00F05FA9">
        <w:rPr>
          <w:rFonts w:asciiTheme="minorHAnsi" w:hAnsiTheme="minorHAnsi"/>
        </w:rPr>
        <w:t xml:space="preserve"> </w:t>
      </w:r>
      <w:r w:rsidR="00034885" w:rsidRPr="00F05FA9">
        <w:rPr>
          <w:rFonts w:asciiTheme="minorHAnsi" w:hAnsiTheme="minorHAnsi"/>
        </w:rPr>
        <w:t>queremos además profundizar en los cocimientos sobre los cambios biológicos del sistema hematopoyéticos que ocurren con el envejecimiento y colaborar en la introducción de ensayos clínicos en es</w:t>
      </w:r>
      <w:r w:rsidRPr="00F05FA9">
        <w:rPr>
          <w:rFonts w:asciiTheme="minorHAnsi" w:hAnsiTheme="minorHAnsi"/>
        </w:rPr>
        <w:t>ta población y en el intercambio</w:t>
      </w:r>
      <w:r w:rsidR="00034885" w:rsidRPr="00F05FA9">
        <w:rPr>
          <w:rFonts w:asciiTheme="minorHAnsi" w:hAnsiTheme="minorHAnsi"/>
        </w:rPr>
        <w:t xml:space="preserve"> y difusión de conocimientos en este campo que impliquen al colectivo de hematólogos y acabe imponiendo un cambio en la conducta clínica de los profesionales involucrados la toma de decisiones y el manejo de pacientes de edad avanzada.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416D28" w:rsidRPr="00F05FA9" w:rsidRDefault="00416D28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Los objetivos en este “II </w:t>
      </w:r>
      <w:r w:rsidR="00034885" w:rsidRPr="00F05FA9">
        <w:rPr>
          <w:rFonts w:asciiTheme="minorHAnsi" w:hAnsiTheme="minorHAnsi"/>
        </w:rPr>
        <w:t xml:space="preserve"> </w:t>
      </w:r>
      <w:proofErr w:type="spellStart"/>
      <w:r w:rsidR="00034885" w:rsidRPr="00F05FA9">
        <w:rPr>
          <w:rFonts w:asciiTheme="minorHAnsi" w:hAnsiTheme="minorHAnsi"/>
        </w:rPr>
        <w:t>Workshop</w:t>
      </w:r>
      <w:proofErr w:type="spellEnd"/>
      <w:r w:rsidR="00034885" w:rsidRPr="00F05FA9">
        <w:rPr>
          <w:rFonts w:asciiTheme="minorHAnsi" w:hAnsiTheme="minorHAnsi"/>
        </w:rPr>
        <w:t xml:space="preserve"> de </w:t>
      </w:r>
      <w:proofErr w:type="spellStart"/>
      <w:r w:rsidR="00034885" w:rsidRPr="00F05FA9">
        <w:rPr>
          <w:rFonts w:asciiTheme="minorHAnsi" w:hAnsiTheme="minorHAnsi"/>
        </w:rPr>
        <w:t>Hematogeriatria</w:t>
      </w:r>
      <w:proofErr w:type="spellEnd"/>
      <w:r w:rsidR="00034885" w:rsidRPr="00F05FA9">
        <w:rPr>
          <w:rFonts w:asciiTheme="minorHAnsi" w:hAnsiTheme="minorHAnsi"/>
        </w:rPr>
        <w:t>” son difundir el uso y conocimiento de la escala GAH (</w:t>
      </w:r>
      <w:proofErr w:type="spellStart"/>
      <w:r w:rsidR="00034885" w:rsidRPr="00F05FA9">
        <w:rPr>
          <w:rFonts w:asciiTheme="minorHAnsi" w:hAnsiTheme="minorHAnsi"/>
        </w:rPr>
        <w:t>Geriatric</w:t>
      </w:r>
      <w:proofErr w:type="spellEnd"/>
      <w:r w:rsidR="00034885" w:rsidRPr="00F05FA9">
        <w:rPr>
          <w:rFonts w:asciiTheme="minorHAnsi" w:hAnsiTheme="minorHAnsi"/>
        </w:rPr>
        <w:t xml:space="preserve"> </w:t>
      </w:r>
      <w:proofErr w:type="spellStart"/>
      <w:r w:rsidR="00034885" w:rsidRPr="00F05FA9">
        <w:rPr>
          <w:rFonts w:asciiTheme="minorHAnsi" w:hAnsiTheme="minorHAnsi"/>
        </w:rPr>
        <w:t>Assessement</w:t>
      </w:r>
      <w:proofErr w:type="spellEnd"/>
      <w:r w:rsidR="00034885" w:rsidRPr="00F05FA9">
        <w:rPr>
          <w:rFonts w:asciiTheme="minorHAnsi" w:hAnsiTheme="minorHAnsi"/>
        </w:rPr>
        <w:t xml:space="preserve"> in </w:t>
      </w:r>
      <w:proofErr w:type="spellStart"/>
      <w:r w:rsidR="00034885" w:rsidRPr="00F05FA9">
        <w:rPr>
          <w:rFonts w:asciiTheme="minorHAnsi" w:hAnsiTheme="minorHAnsi"/>
        </w:rPr>
        <w:t>Hematology</w:t>
      </w:r>
      <w:proofErr w:type="spellEnd"/>
      <w:r w:rsidR="00034885" w:rsidRPr="00F05FA9">
        <w:rPr>
          <w:rFonts w:asciiTheme="minorHAnsi" w:hAnsiTheme="minorHAnsi"/>
        </w:rPr>
        <w:t xml:space="preserve">) y revisar los conocimientos relacionados con los tratamientos de las distintas enfermedades </w:t>
      </w:r>
      <w:proofErr w:type="spellStart"/>
      <w:r w:rsidR="00034885" w:rsidRPr="00F05FA9">
        <w:rPr>
          <w:rFonts w:asciiTheme="minorHAnsi" w:hAnsiTheme="minorHAnsi"/>
        </w:rPr>
        <w:t>hematoncológicas</w:t>
      </w:r>
      <w:proofErr w:type="spellEnd"/>
      <w:r w:rsidR="00034885" w:rsidRPr="00F05FA9">
        <w:rPr>
          <w:rFonts w:asciiTheme="minorHAnsi" w:hAnsiTheme="minorHAnsi"/>
        </w:rPr>
        <w:t xml:space="preserve"> y su perfil de tolerancia en la población mayor</w:t>
      </w:r>
      <w:r w:rsidRPr="00F05FA9">
        <w:rPr>
          <w:rFonts w:asciiTheme="minorHAnsi" w:hAnsiTheme="minorHAnsi"/>
        </w:rPr>
        <w:t xml:space="preserve">. </w:t>
      </w:r>
      <w:r w:rsidR="00034885" w:rsidRPr="00F05FA9">
        <w:rPr>
          <w:rFonts w:asciiTheme="minorHAnsi" w:hAnsiTheme="minorHAnsi"/>
        </w:rPr>
        <w:t xml:space="preserve">Nuestra pretensión </w:t>
      </w:r>
      <w:r w:rsidRPr="00F05FA9">
        <w:rPr>
          <w:rFonts w:asciiTheme="minorHAnsi" w:hAnsiTheme="minorHAnsi"/>
        </w:rPr>
        <w:t xml:space="preserve">además </w:t>
      </w:r>
      <w:r w:rsidR="00034885" w:rsidRPr="00F05FA9">
        <w:rPr>
          <w:rFonts w:asciiTheme="minorHAnsi" w:hAnsiTheme="minorHAnsi"/>
        </w:rPr>
        <w:t xml:space="preserve">es que sean unas Jornadas altamente participativas y por ello </w:t>
      </w:r>
      <w:r w:rsidRPr="00F05FA9">
        <w:rPr>
          <w:rFonts w:asciiTheme="minorHAnsi" w:hAnsiTheme="minorHAnsi"/>
        </w:rPr>
        <w:t>se ha</w:t>
      </w:r>
      <w:r w:rsidR="00034885" w:rsidRPr="00F05FA9">
        <w:rPr>
          <w:rFonts w:asciiTheme="minorHAnsi" w:hAnsiTheme="minorHAnsi"/>
        </w:rPr>
        <w:t xml:space="preserve"> organizado 3 </w:t>
      </w:r>
      <w:r w:rsidRPr="00F05FA9">
        <w:rPr>
          <w:rFonts w:asciiTheme="minorHAnsi" w:hAnsiTheme="minorHAnsi"/>
        </w:rPr>
        <w:t xml:space="preserve">talleres para elaborar consenso. 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416D28" w:rsidRPr="00F05FA9" w:rsidRDefault="00416D28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>Solicitada acreditación por la Comisión de Formación Continuada de las Profesiones Sanitarias de la Comunidad de Madrid - Sistema Nacional de Salud.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416D28" w:rsidRPr="00F05FA9" w:rsidRDefault="001406FF" w:rsidP="00F05FA9">
      <w:pPr>
        <w:jc w:val="both"/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Adjuntamos programa. </w:t>
      </w:r>
      <w:r w:rsidR="00416D28" w:rsidRPr="00F05FA9">
        <w:rPr>
          <w:rFonts w:asciiTheme="minorHAnsi" w:hAnsiTheme="minorHAnsi"/>
        </w:rPr>
        <w:t>Toda la información e inscripciones puede consultarse en:</w:t>
      </w:r>
      <w:r w:rsidRPr="00F05FA9">
        <w:rPr>
          <w:rFonts w:asciiTheme="minorHAnsi" w:hAnsiTheme="minorHAnsi"/>
        </w:rPr>
        <w:t xml:space="preserve"> </w:t>
      </w:r>
      <w:hyperlink r:id="rId6" w:history="1">
        <w:r w:rsidRPr="00F05FA9">
          <w:rPr>
            <w:rStyle w:val="Hipervnculo"/>
            <w:rFonts w:asciiTheme="minorHAnsi" w:hAnsiTheme="minorHAnsi"/>
          </w:rPr>
          <w:t>http://eventos.aymon.es/hematogeriatria2016/</w:t>
        </w:r>
      </w:hyperlink>
      <w:r w:rsidRPr="00F05FA9">
        <w:rPr>
          <w:rFonts w:asciiTheme="minorHAnsi" w:hAnsiTheme="minorHAnsi"/>
        </w:rPr>
        <w:t xml:space="preserve"> </w:t>
      </w:r>
    </w:p>
    <w:p w:rsidR="00416D28" w:rsidRPr="00F05FA9" w:rsidRDefault="00416D28" w:rsidP="00F05FA9">
      <w:pPr>
        <w:jc w:val="both"/>
        <w:rPr>
          <w:rFonts w:asciiTheme="minorHAnsi" w:hAnsiTheme="minorHAnsi"/>
        </w:rPr>
      </w:pPr>
    </w:p>
    <w:p w:rsidR="001406FF" w:rsidRPr="00F05FA9" w:rsidRDefault="00416D28" w:rsidP="00F05FA9">
      <w:pPr>
        <w:jc w:val="both"/>
        <w:rPr>
          <w:rFonts w:asciiTheme="minorHAnsi" w:hAnsiTheme="minorHAnsi"/>
          <w:b/>
        </w:rPr>
      </w:pPr>
      <w:r w:rsidRPr="00F05FA9">
        <w:rPr>
          <w:rFonts w:asciiTheme="minorHAnsi" w:hAnsiTheme="minorHAnsi"/>
          <w:b/>
        </w:rPr>
        <w:t xml:space="preserve">Por todo ello </w:t>
      </w:r>
      <w:r w:rsidR="00034885" w:rsidRPr="00F05FA9">
        <w:rPr>
          <w:rFonts w:asciiTheme="minorHAnsi" w:hAnsiTheme="minorHAnsi"/>
          <w:b/>
        </w:rPr>
        <w:t xml:space="preserve">esperamos </w:t>
      </w:r>
      <w:r w:rsidR="001406FF" w:rsidRPr="00F05FA9">
        <w:rPr>
          <w:rFonts w:asciiTheme="minorHAnsi" w:hAnsiTheme="minorHAnsi"/>
          <w:b/>
        </w:rPr>
        <w:t xml:space="preserve">que la información sea de su interés, </w:t>
      </w:r>
      <w:r w:rsidR="00034885" w:rsidRPr="00F05FA9">
        <w:rPr>
          <w:rFonts w:asciiTheme="minorHAnsi" w:hAnsiTheme="minorHAnsi"/>
          <w:b/>
        </w:rPr>
        <w:t xml:space="preserve">contar con </w:t>
      </w:r>
      <w:r w:rsidR="001406FF" w:rsidRPr="00F05FA9">
        <w:rPr>
          <w:rFonts w:asciiTheme="minorHAnsi" w:hAnsiTheme="minorHAnsi"/>
          <w:b/>
        </w:rPr>
        <w:t>su</w:t>
      </w:r>
      <w:r w:rsidR="00034885" w:rsidRPr="00F05FA9">
        <w:rPr>
          <w:rFonts w:asciiTheme="minorHAnsi" w:hAnsiTheme="minorHAnsi"/>
          <w:b/>
        </w:rPr>
        <w:t xml:space="preserve"> presencia, participación activa y colaboración</w:t>
      </w:r>
      <w:r w:rsidR="001406FF" w:rsidRPr="00F05FA9">
        <w:rPr>
          <w:rFonts w:asciiTheme="minorHAnsi" w:hAnsiTheme="minorHAnsi"/>
          <w:b/>
        </w:rPr>
        <w:t xml:space="preserve"> en la divulgación de esta información</w:t>
      </w:r>
      <w:r w:rsidR="00CA1D36" w:rsidRPr="00F05FA9">
        <w:rPr>
          <w:rFonts w:asciiTheme="minorHAnsi" w:hAnsiTheme="minorHAnsi"/>
          <w:b/>
        </w:rPr>
        <w:t>,</w:t>
      </w:r>
      <w:r w:rsidR="001406FF" w:rsidRPr="00F05FA9">
        <w:rPr>
          <w:rFonts w:asciiTheme="minorHAnsi" w:hAnsiTheme="minorHAnsi"/>
          <w:b/>
        </w:rPr>
        <w:t xml:space="preserve"> mediante </w:t>
      </w:r>
      <w:r w:rsidR="00CA1D36" w:rsidRPr="00F05FA9">
        <w:rPr>
          <w:rFonts w:asciiTheme="minorHAnsi" w:hAnsiTheme="minorHAnsi"/>
          <w:b/>
        </w:rPr>
        <w:t xml:space="preserve">una reseña y/o </w:t>
      </w:r>
      <w:r w:rsidR="001406FF" w:rsidRPr="00F05FA9">
        <w:rPr>
          <w:rFonts w:asciiTheme="minorHAnsi" w:hAnsiTheme="minorHAnsi"/>
          <w:b/>
        </w:rPr>
        <w:t xml:space="preserve">un enlace de la web de la Sociedad a la web del evento: </w:t>
      </w:r>
      <w:hyperlink r:id="rId7" w:history="1">
        <w:r w:rsidR="001406FF" w:rsidRPr="00F05FA9">
          <w:rPr>
            <w:rStyle w:val="Hipervnculo"/>
            <w:rFonts w:asciiTheme="minorHAnsi" w:hAnsiTheme="minorHAnsi"/>
          </w:rPr>
          <w:t>http://eventos.aymon.es/hematogeriatria2016/</w:t>
        </w:r>
      </w:hyperlink>
    </w:p>
    <w:p w:rsidR="00416D28" w:rsidRPr="00F05FA9" w:rsidRDefault="00416D28" w:rsidP="00034885">
      <w:pPr>
        <w:rPr>
          <w:rFonts w:asciiTheme="minorHAnsi" w:hAnsiTheme="minorHAnsi"/>
        </w:rPr>
      </w:pPr>
    </w:p>
    <w:p w:rsidR="006956BE" w:rsidRPr="00F05FA9" w:rsidRDefault="001406FF" w:rsidP="00034885">
      <w:pPr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Gracias de antemano. Reciban </w:t>
      </w:r>
      <w:r w:rsidR="00034885" w:rsidRPr="00F05FA9">
        <w:rPr>
          <w:rFonts w:asciiTheme="minorHAnsi" w:hAnsiTheme="minorHAnsi"/>
        </w:rPr>
        <w:t xml:space="preserve"> un cordial saludo</w:t>
      </w:r>
      <w:r w:rsidRPr="00F05FA9">
        <w:rPr>
          <w:rFonts w:asciiTheme="minorHAnsi" w:hAnsiTheme="minorHAnsi"/>
        </w:rPr>
        <w:t>.</w:t>
      </w:r>
    </w:p>
    <w:p w:rsidR="001406FF" w:rsidRPr="00F05FA9" w:rsidRDefault="001406FF" w:rsidP="00034885">
      <w:pPr>
        <w:rPr>
          <w:rFonts w:asciiTheme="minorHAnsi" w:hAnsiTheme="minorHAnsi"/>
        </w:rPr>
      </w:pPr>
    </w:p>
    <w:p w:rsidR="001406FF" w:rsidRPr="00F05FA9" w:rsidRDefault="001406FF" w:rsidP="00034885">
      <w:pPr>
        <w:rPr>
          <w:rFonts w:asciiTheme="minorHAnsi" w:hAnsiTheme="minorHAnsi"/>
        </w:rPr>
      </w:pPr>
      <w:r w:rsidRPr="00F05FA9">
        <w:rPr>
          <w:rFonts w:asciiTheme="minorHAnsi" w:hAnsiTheme="minorHAnsi"/>
        </w:rPr>
        <w:t>Leonor Suárez</w:t>
      </w:r>
    </w:p>
    <w:p w:rsidR="001406FF" w:rsidRPr="00F05FA9" w:rsidRDefault="001406FF" w:rsidP="00034885">
      <w:pPr>
        <w:rPr>
          <w:rFonts w:asciiTheme="minorHAnsi" w:hAnsiTheme="minorHAnsi"/>
        </w:rPr>
      </w:pPr>
      <w:r w:rsidRPr="00F05FA9">
        <w:rPr>
          <w:rFonts w:asciiTheme="minorHAnsi" w:hAnsiTheme="minorHAnsi"/>
        </w:rPr>
        <w:t xml:space="preserve">Secretaría Técnica </w:t>
      </w:r>
    </w:p>
    <w:p w:rsidR="001406FF" w:rsidRPr="00F05FA9" w:rsidRDefault="001406FF" w:rsidP="00034885">
      <w:pPr>
        <w:rPr>
          <w:rFonts w:asciiTheme="minorHAnsi" w:hAnsiTheme="minorHAnsi"/>
        </w:rPr>
      </w:pPr>
      <w:r w:rsidRPr="00F05FA9">
        <w:rPr>
          <w:rFonts w:asciiTheme="minorHAnsi" w:hAnsiTheme="minorHAnsi"/>
        </w:rPr>
        <w:t>689306120</w:t>
      </w:r>
    </w:p>
    <w:sectPr w:rsidR="001406FF" w:rsidRPr="00F05FA9" w:rsidSect="00695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034885"/>
    <w:rsid w:val="00034885"/>
    <w:rsid w:val="001406FF"/>
    <w:rsid w:val="00282772"/>
    <w:rsid w:val="002A3056"/>
    <w:rsid w:val="003E36E7"/>
    <w:rsid w:val="00416D28"/>
    <w:rsid w:val="00623008"/>
    <w:rsid w:val="006956BE"/>
    <w:rsid w:val="00CA1D36"/>
    <w:rsid w:val="00E407D6"/>
    <w:rsid w:val="00F05FA9"/>
    <w:rsid w:val="00F4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D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os.aymon.es/hematogeriatria20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entos.aymon.es/hematogeriatria20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4ADA-0953-42F7-B37E-684F392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2015-11-24T14:46:00Z</dcterms:created>
  <dcterms:modified xsi:type="dcterms:W3CDTF">2015-12-04T10:19:00Z</dcterms:modified>
</cp:coreProperties>
</file>